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color w:val="000000"/>
          <w:sz w:val="28"/>
          <w:szCs w:val="28"/>
        </w:rPr>
      </w:pPr>
      <w:r w:rsidDel="00000000" w:rsidR="00000000" w:rsidRPr="00000000">
        <w:rPr>
          <w:b w:val="1"/>
          <w:sz w:val="28"/>
          <w:szCs w:val="28"/>
          <w:rtl w:val="0"/>
        </w:rPr>
        <w:t xml:space="preserve">Notetaking guidance</w:t>
      </w:r>
      <w:r w:rsidDel="00000000" w:rsidR="00000000" w:rsidRPr="00000000">
        <w:rPr>
          <w:rFonts w:ascii="Calibri" w:cs="Calibri" w:eastAsia="Calibri" w:hAnsi="Calibri"/>
          <w:b w:val="1"/>
          <w:color w:val="000000"/>
          <w:sz w:val="28"/>
          <w:szCs w:val="28"/>
          <w:rtl w:val="0"/>
        </w:rPr>
        <w:t xml:space="preserve"> for courtwatchers</w:t>
      </w:r>
    </w:p>
    <w:p w:rsidR="00000000" w:rsidDel="00000000" w:rsidP="00000000" w:rsidRDefault="00000000" w:rsidRPr="00000000" w14:paraId="00000002">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data</w:t>
      </w:r>
      <w:r w:rsidDel="00000000" w:rsidR="00000000" w:rsidRPr="00000000">
        <w:rPr>
          <w:sz w:val="24"/>
          <w:szCs w:val="24"/>
          <w:rtl w:val="0"/>
        </w:rPr>
        <w:t xml:space="preserve"> you gather</w:t>
      </w:r>
      <w:r w:rsidDel="00000000" w:rsidR="00000000" w:rsidRPr="00000000">
        <w:rPr>
          <w:rFonts w:ascii="Calibri" w:cs="Calibri" w:eastAsia="Calibri" w:hAnsi="Calibri"/>
          <w:color w:val="000000"/>
          <w:sz w:val="24"/>
          <w:szCs w:val="24"/>
          <w:rtl w:val="0"/>
        </w:rPr>
        <w:t xml:space="preserve"> gives a priceless picture of what’s happening in </w:t>
      </w:r>
      <w:r w:rsidDel="00000000" w:rsidR="00000000" w:rsidRPr="00000000">
        <w:rPr>
          <w:sz w:val="24"/>
          <w:szCs w:val="24"/>
          <w:rtl w:val="0"/>
        </w:rPr>
        <w:t xml:space="preserve">our </w:t>
      </w:r>
      <w:r w:rsidDel="00000000" w:rsidR="00000000" w:rsidRPr="00000000">
        <w:rPr>
          <w:rFonts w:ascii="Calibri" w:cs="Calibri" w:eastAsia="Calibri" w:hAnsi="Calibri"/>
          <w:color w:val="000000"/>
          <w:sz w:val="24"/>
          <w:szCs w:val="24"/>
          <w:rtl w:val="0"/>
        </w:rPr>
        <w:t xml:space="preserve">courts. Thank you to every </w:t>
      </w:r>
      <w:r w:rsidDel="00000000" w:rsidR="00000000" w:rsidRPr="00000000">
        <w:rPr>
          <w:sz w:val="24"/>
          <w:szCs w:val="24"/>
          <w:rtl w:val="0"/>
        </w:rPr>
        <w:t xml:space="preserve">courtwatcher </w:t>
      </w:r>
      <w:r w:rsidDel="00000000" w:rsidR="00000000" w:rsidRPr="00000000">
        <w:rPr>
          <w:rFonts w:ascii="Calibri" w:cs="Calibri" w:eastAsia="Calibri" w:hAnsi="Calibri"/>
          <w:color w:val="000000"/>
          <w:sz w:val="24"/>
          <w:szCs w:val="24"/>
          <w:rtl w:val="0"/>
        </w:rPr>
        <w:t xml:space="preserve">who has contributed so far. </w:t>
      </w:r>
    </w:p>
    <w:p w:rsidR="00000000" w:rsidDel="00000000" w:rsidP="00000000" w:rsidRDefault="00000000" w:rsidRPr="00000000" w14:paraId="00000003">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Below are a few extra tips for how to take the most useful notes during your court visit, based on a review of data so far. </w:t>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Take action if you can’t hear what’s going on</w:t>
      </w:r>
      <w:r w:rsidDel="00000000" w:rsidR="00000000" w:rsidRPr="00000000">
        <w:rPr>
          <w:sz w:val="24"/>
          <w:szCs w:val="24"/>
          <w:rtl w:val="0"/>
        </w:rPr>
        <w:t xml:space="preserve">. We’re disappointed to learn that there are still problems with hearing what is happening from the public gallery in some courtrooms. It’s a waste of your time to observe a case you can’t hear, so take action if this happens. You have a few of options: </w:t>
      </w:r>
    </w:p>
    <w:p w:rsidR="00000000" w:rsidDel="00000000" w:rsidP="00000000" w:rsidRDefault="00000000" w:rsidRPr="00000000" w14:paraId="00000005">
      <w:pPr>
        <w:numPr>
          <w:ilvl w:val="0"/>
          <w:numId w:val="1"/>
        </w:numPr>
        <w:spacing w:after="0" w:afterAutospacing="0"/>
        <w:ind w:left="720" w:hanging="360"/>
        <w:rPr>
          <w:sz w:val="24"/>
          <w:szCs w:val="24"/>
          <w:u w:val="none"/>
        </w:rPr>
      </w:pPr>
      <w:r w:rsidDel="00000000" w:rsidR="00000000" w:rsidRPr="00000000">
        <w:rPr>
          <w:sz w:val="24"/>
          <w:szCs w:val="24"/>
          <w:rtl w:val="0"/>
        </w:rPr>
        <w:t xml:space="preserve">During a break in proceedings, politely tell the list caller/usher that you can’t hear from the public gallery. Ask them to check the microphones and speakers systems are turned on and working. They could also ask people in the court to speak up. </w:t>
      </w:r>
    </w:p>
    <w:p w:rsidR="00000000" w:rsidDel="00000000" w:rsidP="00000000" w:rsidRDefault="00000000" w:rsidRPr="00000000" w14:paraId="00000006">
      <w:pPr>
        <w:numPr>
          <w:ilvl w:val="0"/>
          <w:numId w:val="1"/>
        </w:numPr>
        <w:spacing w:after="0" w:afterAutospacing="0"/>
        <w:ind w:left="720" w:hanging="360"/>
        <w:rPr>
          <w:sz w:val="24"/>
          <w:szCs w:val="24"/>
          <w:u w:val="none"/>
        </w:rPr>
      </w:pPr>
      <w:r w:rsidDel="00000000" w:rsidR="00000000" w:rsidRPr="00000000">
        <w:rPr>
          <w:sz w:val="24"/>
          <w:szCs w:val="24"/>
          <w:rtl w:val="0"/>
        </w:rPr>
        <w:t xml:space="preserve">Ask the list caller if you can sit in the main courtroom where audibility is better. </w:t>
      </w:r>
    </w:p>
    <w:p w:rsidR="00000000" w:rsidDel="00000000" w:rsidP="00000000" w:rsidRDefault="00000000" w:rsidRPr="00000000" w14:paraId="00000007">
      <w:pPr>
        <w:numPr>
          <w:ilvl w:val="0"/>
          <w:numId w:val="1"/>
        </w:numPr>
        <w:ind w:left="720" w:hanging="360"/>
        <w:rPr>
          <w:sz w:val="24"/>
          <w:szCs w:val="24"/>
          <w:u w:val="none"/>
        </w:rPr>
      </w:pPr>
      <w:r w:rsidDel="00000000" w:rsidR="00000000" w:rsidRPr="00000000">
        <w:rPr>
          <w:sz w:val="24"/>
          <w:szCs w:val="24"/>
          <w:rtl w:val="0"/>
        </w:rPr>
        <w:t xml:space="preserve">Move to another courtroom.</w:t>
      </w:r>
    </w:p>
    <w:p w:rsidR="00000000" w:rsidDel="00000000" w:rsidP="00000000" w:rsidRDefault="00000000" w:rsidRPr="00000000" w14:paraId="00000008">
      <w:pPr>
        <w:rPr>
          <w:sz w:val="24"/>
          <w:szCs w:val="24"/>
        </w:rPr>
      </w:pPr>
      <w:r w:rsidDel="00000000" w:rsidR="00000000" w:rsidRPr="00000000">
        <w:rPr>
          <w:sz w:val="24"/>
          <w:szCs w:val="24"/>
          <w:rtl w:val="0"/>
        </w:rPr>
        <w:t xml:space="preserve">Always note down the problem and what happened next in your courtwatching booklet. And remember, courts have a responsibility to make sure people can hear proceedings in the public gallery. By politely raising it, you might make it better for everyone else in future, including family members and other coutwatchers. </w:t>
      </w:r>
    </w:p>
    <w:p w:rsidR="00000000" w:rsidDel="00000000" w:rsidP="00000000" w:rsidRDefault="00000000" w:rsidRPr="00000000" w14:paraId="00000009">
      <w:pPr>
        <w:rPr>
          <w:sz w:val="24"/>
          <w:szCs w:val="24"/>
        </w:rPr>
      </w:pPr>
      <w:r w:rsidDel="00000000" w:rsidR="00000000" w:rsidRPr="00000000">
        <w:rPr>
          <w:b w:val="1"/>
          <w:sz w:val="24"/>
          <w:szCs w:val="24"/>
          <w:rtl w:val="0"/>
        </w:rPr>
        <w:t xml:space="preserve">Try to explain any conclusions in your reflections. </w:t>
      </w:r>
      <w:r w:rsidDel="00000000" w:rsidR="00000000" w:rsidRPr="00000000">
        <w:rPr>
          <w:sz w:val="24"/>
          <w:szCs w:val="24"/>
          <w:rtl w:val="0"/>
        </w:rPr>
        <w:t xml:space="preserve">Your written reflections are so helpful for bringing what’s happening in the court to life. One way to make these notes even more valuable is to add details which help explain your conclusions. If you think the magistrates were fair in their decision making, what did you see and hear that made you think that? If you thought the defence lawyer did or didn’t do a good job, what did they say to bring you to that conclusion? </w:t>
      </w:r>
    </w:p>
    <w:p w:rsidR="00000000" w:rsidDel="00000000" w:rsidP="00000000" w:rsidRDefault="00000000" w:rsidRPr="00000000" w14:paraId="0000000A">
      <w:pPr>
        <w:rPr>
          <w:sz w:val="24"/>
          <w:szCs w:val="24"/>
        </w:rPr>
      </w:pPr>
      <w:r w:rsidDel="00000000" w:rsidR="00000000" w:rsidRPr="00000000">
        <w:rPr>
          <w:sz w:val="24"/>
          <w:szCs w:val="24"/>
          <w:rtl w:val="0"/>
        </w:rPr>
        <w:t xml:space="preserve">For example, instead of “</w:t>
      </w:r>
      <w:r w:rsidDel="00000000" w:rsidR="00000000" w:rsidRPr="00000000">
        <w:rPr>
          <w:i w:val="1"/>
          <w:sz w:val="24"/>
          <w:szCs w:val="24"/>
          <w:rtl w:val="0"/>
        </w:rPr>
        <w:t xml:space="preserve">the prosecutor treated the defendant unfairly</w:t>
      </w:r>
      <w:r w:rsidDel="00000000" w:rsidR="00000000" w:rsidRPr="00000000">
        <w:rPr>
          <w:sz w:val="24"/>
          <w:szCs w:val="24"/>
          <w:rtl w:val="0"/>
        </w:rPr>
        <w:t xml:space="preserve">”, try to provide some specific details, like this report from a courtwatcher: “</w:t>
      </w:r>
      <w:r w:rsidDel="00000000" w:rsidR="00000000" w:rsidRPr="00000000">
        <w:rPr>
          <w:i w:val="1"/>
          <w:sz w:val="24"/>
          <w:szCs w:val="24"/>
          <w:rtl w:val="0"/>
        </w:rPr>
        <w:t xml:space="preserve">the prosecutor was very nasty to the defendant. She kept asking the defendant questions and not waiting for a reply. The defendant was sweating and getting upset</w:t>
      </w:r>
      <w:r w:rsidDel="00000000" w:rsidR="00000000" w:rsidRPr="00000000">
        <w:rPr>
          <w:sz w:val="24"/>
          <w:szCs w:val="24"/>
          <w:rtl w:val="0"/>
        </w:rPr>
        <w:t xml:space="preserve">.”</w:t>
      </w:r>
    </w:p>
    <w:p w:rsidR="00000000" w:rsidDel="00000000" w:rsidP="00000000" w:rsidRDefault="00000000" w:rsidRPr="00000000" w14:paraId="0000000B">
      <w:pPr>
        <w:rPr>
          <w:sz w:val="24"/>
          <w:szCs w:val="24"/>
        </w:rPr>
      </w:pPr>
      <w:r w:rsidDel="00000000" w:rsidR="00000000" w:rsidRPr="00000000">
        <w:rPr>
          <w:sz w:val="24"/>
          <w:szCs w:val="24"/>
          <w:rtl w:val="0"/>
        </w:rPr>
        <w:t xml:space="preserve">And instead of just saying “</w:t>
      </w:r>
      <w:r w:rsidDel="00000000" w:rsidR="00000000" w:rsidRPr="00000000">
        <w:rPr>
          <w:i w:val="1"/>
          <w:sz w:val="24"/>
          <w:szCs w:val="24"/>
          <w:rtl w:val="0"/>
        </w:rPr>
        <w:t xml:space="preserve">the lawyer didn’t seem to care”</w:t>
      </w:r>
      <w:r w:rsidDel="00000000" w:rsidR="00000000" w:rsidRPr="00000000">
        <w:rPr>
          <w:sz w:val="24"/>
          <w:szCs w:val="24"/>
          <w:rtl w:val="0"/>
        </w:rPr>
        <w:t xml:space="preserve"> try to add some detail to illustrate the point: “</w:t>
      </w:r>
      <w:r w:rsidDel="00000000" w:rsidR="00000000" w:rsidRPr="00000000">
        <w:rPr>
          <w:i w:val="1"/>
          <w:sz w:val="24"/>
          <w:szCs w:val="24"/>
          <w:rtl w:val="0"/>
        </w:rPr>
        <w:t xml:space="preserve">the lawyer didn't seem to care - huffing and puffing about how he was going to be late for his next meeting</w:t>
      </w:r>
      <w:r w:rsidDel="00000000" w:rsidR="00000000" w:rsidRPr="00000000">
        <w:rPr>
          <w:sz w:val="24"/>
          <w:szCs w:val="24"/>
          <w:rtl w:val="0"/>
        </w:rPr>
        <w:t xml:space="preserve">”.</w:t>
      </w:r>
    </w:p>
    <w:p w:rsidR="00000000" w:rsidDel="00000000" w:rsidP="00000000" w:rsidRDefault="00000000" w:rsidRPr="00000000" w14:paraId="0000000C">
      <w:pPr>
        <w:rPr>
          <w:sz w:val="24"/>
          <w:szCs w:val="24"/>
        </w:rPr>
      </w:pPr>
      <w:r w:rsidDel="00000000" w:rsidR="00000000" w:rsidRPr="00000000">
        <w:rPr>
          <w:b w:val="1"/>
          <w:sz w:val="24"/>
          <w:szCs w:val="24"/>
          <w:rtl w:val="0"/>
        </w:rPr>
        <w:t xml:space="preserve">You don’t need to write down everything that’s said. </w:t>
      </w:r>
      <w:r w:rsidDel="00000000" w:rsidR="00000000" w:rsidRPr="00000000">
        <w:rPr>
          <w:sz w:val="24"/>
          <w:szCs w:val="24"/>
          <w:rtl w:val="0"/>
        </w:rPr>
        <w:t xml:space="preserve">It isn’t possible or useful to write down every detail you hear. For example, don’t worry about capturing every single detail about the offence - just the offence type is fine. We’re more interested in the outcome and the reasons for it, how the defendant is treated (including use of interpreters, lawyers, video links), and anything you can observe relating to efficiency and delays. </w:t>
      </w:r>
    </w:p>
    <w:p w:rsidR="00000000" w:rsidDel="00000000" w:rsidP="00000000" w:rsidRDefault="00000000" w:rsidRPr="00000000" w14:paraId="0000000D">
      <w:pPr>
        <w:rPr>
          <w:rFonts w:ascii="Calibri" w:cs="Calibri" w:eastAsia="Calibri" w:hAnsi="Calibri"/>
          <w:color w:val="000000"/>
          <w:sz w:val="24"/>
          <w:szCs w:val="24"/>
        </w:rPr>
      </w:pPr>
      <w:r w:rsidDel="00000000" w:rsidR="00000000" w:rsidRPr="00000000">
        <w:rPr>
          <w:b w:val="1"/>
          <w:sz w:val="24"/>
          <w:szCs w:val="24"/>
          <w:rtl w:val="0"/>
        </w:rPr>
        <w:t xml:space="preserve">What to write in your reflections. </w:t>
      </w:r>
      <w:r w:rsidDel="00000000" w:rsidR="00000000" w:rsidRPr="00000000">
        <w:rPr>
          <w:rFonts w:ascii="Calibri" w:cs="Calibri" w:eastAsia="Calibri" w:hAnsi="Calibri"/>
          <w:color w:val="000000"/>
          <w:sz w:val="24"/>
          <w:szCs w:val="24"/>
          <w:rtl w:val="0"/>
        </w:rPr>
        <w:t xml:space="preserve">We’re interested in hearing about what matters most to you from the hearings you observe. But if you need a prompt, below are a few themes to reflect on: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Court decision-making – did the sentence seem fair to you? Did it seem sensible? Why/why not?</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Treatment of defendants – how was the defendant spoken to by others in the court? Was it easy for them to understand what was happening? Was the tone used by judges and lawyers appropriate?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Overall – What worried you? What frustrated you? What gave you hope?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Trends – how does what you’re seeing compare with other visits? What differences, if any, are you noticing between judges, courts, or case types?</w:t>
      </w:r>
      <w:r w:rsidDel="00000000" w:rsidR="00000000" w:rsidRPr="00000000">
        <w:rPr>
          <w:rtl w:val="0"/>
        </w:rPr>
      </w:r>
    </w:p>
    <w:p w:rsidR="00000000" w:rsidDel="00000000" w:rsidP="00000000" w:rsidRDefault="00000000" w:rsidRPr="00000000" w14:paraId="00000012">
      <w:pP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Look for hearings where the prosecuting authority is the CPS or Met Police. </w:t>
      </w:r>
      <w:r w:rsidDel="00000000" w:rsidR="00000000" w:rsidRPr="00000000">
        <w:rPr>
          <w:rFonts w:ascii="Calibri" w:cs="Calibri" w:eastAsia="Calibri" w:hAnsi="Calibri"/>
          <w:color w:val="000000"/>
          <w:sz w:val="24"/>
          <w:szCs w:val="24"/>
          <w:rtl w:val="0"/>
        </w:rPr>
        <w:t xml:space="preserve">We’re most interested in criminal cases where the prosecuting authority is the Crown Prosecution Service (CPS) or the Metropolitan Police (usually abbreviated to</w:t>
      </w:r>
      <w:r w:rsidDel="00000000" w:rsidR="00000000" w:rsidRPr="00000000">
        <w:rPr>
          <w:sz w:val="24"/>
          <w:szCs w:val="24"/>
          <w:rtl w:val="0"/>
        </w:rPr>
        <w:t xml:space="preserve"> </w:t>
      </w:r>
      <w:r w:rsidDel="00000000" w:rsidR="00000000" w:rsidRPr="00000000">
        <w:rPr>
          <w:rFonts w:ascii="Calibri" w:cs="Calibri" w:eastAsia="Calibri" w:hAnsi="Calibri"/>
          <w:color w:val="000000"/>
          <w:sz w:val="24"/>
          <w:szCs w:val="24"/>
          <w:rtl w:val="0"/>
        </w:rPr>
        <w:t xml:space="preserve">MPHQ). Try and avoid cases brought by other agencies such as the DVLA (driving offences), local authorities (abbreviations start with LB), HMRC, or probation (PO). Check court lists and ask the helpdesk to direct you. You could also ask for the ‘overnight court</w:t>
      </w:r>
      <w:r w:rsidDel="00000000" w:rsidR="00000000" w:rsidRPr="00000000">
        <w:rPr>
          <w:sz w:val="24"/>
          <w:szCs w:val="24"/>
          <w:rtl w:val="0"/>
        </w:rPr>
        <w:t xml:space="preserve">’ o</w:t>
      </w:r>
      <w:r w:rsidDel="00000000" w:rsidR="00000000" w:rsidRPr="00000000">
        <w:rPr>
          <w:rFonts w:ascii="Calibri" w:cs="Calibri" w:eastAsia="Calibri" w:hAnsi="Calibri"/>
          <w:color w:val="000000"/>
          <w:sz w:val="24"/>
          <w:szCs w:val="24"/>
          <w:rtl w:val="0"/>
        </w:rPr>
        <w:t xml:space="preserve">r </w:t>
      </w:r>
      <w:r w:rsidDel="00000000" w:rsidR="00000000" w:rsidRPr="00000000">
        <w:rPr>
          <w:sz w:val="24"/>
          <w:szCs w:val="24"/>
          <w:rtl w:val="0"/>
        </w:rPr>
        <w:t xml:space="preserve">‘remand </w:t>
      </w:r>
      <w:r w:rsidDel="00000000" w:rsidR="00000000" w:rsidRPr="00000000">
        <w:rPr>
          <w:rFonts w:ascii="Calibri" w:cs="Calibri" w:eastAsia="Calibri" w:hAnsi="Calibri"/>
          <w:color w:val="000000"/>
          <w:sz w:val="24"/>
          <w:szCs w:val="24"/>
          <w:rtl w:val="0"/>
        </w:rPr>
        <w:t xml:space="preserve">court’, which sees cases where the defendant was arrested the previous day and held by the police overnight.</w:t>
      </w:r>
    </w:p>
    <w:p w:rsidR="00000000" w:rsidDel="00000000" w:rsidP="00000000" w:rsidRDefault="00000000" w:rsidRPr="00000000" w14:paraId="00000013">
      <w:pPr>
        <w:rPr>
          <w:sz w:val="24"/>
          <w:szCs w:val="24"/>
        </w:rPr>
      </w:pPr>
      <w:r w:rsidDel="00000000" w:rsidR="00000000" w:rsidRPr="00000000">
        <w:rPr>
          <w:rFonts w:ascii="Calibri" w:cs="Calibri" w:eastAsia="Calibri" w:hAnsi="Calibri"/>
          <w:b w:val="1"/>
          <w:color w:val="000000"/>
          <w:sz w:val="24"/>
          <w:szCs w:val="24"/>
          <w:rtl w:val="0"/>
        </w:rPr>
        <w:t xml:space="preserve">Try another magistrates’ court</w:t>
      </w:r>
      <w:r w:rsidDel="00000000" w:rsidR="00000000" w:rsidRPr="00000000">
        <w:rPr>
          <w:rFonts w:ascii="Calibri" w:cs="Calibri" w:eastAsia="Calibri" w:hAnsi="Calibri"/>
          <w:color w:val="000000"/>
          <w:sz w:val="24"/>
          <w:szCs w:val="24"/>
          <w:rtl w:val="0"/>
        </w:rPr>
        <w:t xml:space="preserve">. </w:t>
      </w:r>
      <w:r w:rsidDel="00000000" w:rsidR="00000000" w:rsidRPr="00000000">
        <w:rPr>
          <w:sz w:val="24"/>
          <w:szCs w:val="24"/>
          <w:rtl w:val="0"/>
        </w:rPr>
        <w:t xml:space="preserve">If you’ve visited your local court a few times, consider trying a different one! London magistrates’ courts include: </w:t>
      </w:r>
      <w:hyperlink r:id="rId7">
        <w:r w:rsidDel="00000000" w:rsidR="00000000" w:rsidRPr="00000000">
          <w:rPr>
            <w:color w:val="0563c1"/>
            <w:sz w:val="24"/>
            <w:szCs w:val="24"/>
            <w:u w:val="single"/>
            <w:rtl w:val="0"/>
          </w:rPr>
          <w:t xml:space="preserve">Barkingside</w:t>
        </w:r>
      </w:hyperlink>
      <w:r w:rsidDel="00000000" w:rsidR="00000000" w:rsidRPr="00000000">
        <w:rPr>
          <w:sz w:val="24"/>
          <w:szCs w:val="24"/>
          <w:rtl w:val="0"/>
        </w:rPr>
        <w:t xml:space="preserve">, </w:t>
      </w:r>
      <w:hyperlink r:id="rId8">
        <w:r w:rsidDel="00000000" w:rsidR="00000000" w:rsidRPr="00000000">
          <w:rPr>
            <w:color w:val="1155cc"/>
            <w:sz w:val="24"/>
            <w:szCs w:val="24"/>
            <w:u w:val="single"/>
            <w:rtl w:val="0"/>
          </w:rPr>
          <w:t xml:space="preserve">Bexley</w:t>
        </w:r>
      </w:hyperlink>
      <w:r w:rsidDel="00000000" w:rsidR="00000000" w:rsidRPr="00000000">
        <w:rPr>
          <w:sz w:val="24"/>
          <w:szCs w:val="24"/>
          <w:rtl w:val="0"/>
        </w:rPr>
        <w:t xml:space="preserve">, </w:t>
      </w:r>
      <w:hyperlink r:id="rId9">
        <w:r w:rsidDel="00000000" w:rsidR="00000000" w:rsidRPr="00000000">
          <w:rPr>
            <w:color w:val="0563c1"/>
            <w:sz w:val="24"/>
            <w:szCs w:val="24"/>
            <w:u w:val="single"/>
            <w:rtl w:val="0"/>
          </w:rPr>
          <w:t xml:space="preserve">Bromley</w:t>
        </w:r>
      </w:hyperlink>
      <w:r w:rsidDel="00000000" w:rsidR="00000000" w:rsidRPr="00000000">
        <w:rPr>
          <w:sz w:val="24"/>
          <w:szCs w:val="24"/>
          <w:rtl w:val="0"/>
        </w:rPr>
        <w:t xml:space="preserve">, </w:t>
      </w:r>
      <w:hyperlink r:id="rId10">
        <w:r w:rsidDel="00000000" w:rsidR="00000000" w:rsidRPr="00000000">
          <w:rPr>
            <w:color w:val="0563c1"/>
            <w:sz w:val="24"/>
            <w:szCs w:val="24"/>
            <w:u w:val="single"/>
            <w:rtl w:val="0"/>
          </w:rPr>
          <w:t xml:space="preserve">Croydon</w:t>
        </w:r>
      </w:hyperlink>
      <w:r w:rsidDel="00000000" w:rsidR="00000000" w:rsidRPr="00000000">
        <w:rPr>
          <w:sz w:val="24"/>
          <w:szCs w:val="24"/>
          <w:rtl w:val="0"/>
        </w:rPr>
        <w:t xml:space="preserve">, </w:t>
      </w:r>
      <w:hyperlink r:id="rId11">
        <w:r w:rsidDel="00000000" w:rsidR="00000000" w:rsidRPr="00000000">
          <w:rPr>
            <w:color w:val="0563c1"/>
            <w:sz w:val="24"/>
            <w:szCs w:val="24"/>
            <w:u w:val="single"/>
            <w:rtl w:val="0"/>
          </w:rPr>
          <w:t xml:space="preserve">Highbury Corner</w:t>
        </w:r>
      </w:hyperlink>
      <w:r w:rsidDel="00000000" w:rsidR="00000000" w:rsidRPr="00000000">
        <w:rPr>
          <w:sz w:val="24"/>
          <w:szCs w:val="24"/>
          <w:rtl w:val="0"/>
        </w:rPr>
        <w:t xml:space="preserve">, </w:t>
      </w:r>
      <w:hyperlink r:id="rId12">
        <w:r w:rsidDel="00000000" w:rsidR="00000000" w:rsidRPr="00000000">
          <w:rPr>
            <w:color w:val="0563c1"/>
            <w:sz w:val="24"/>
            <w:szCs w:val="24"/>
            <w:u w:val="single"/>
            <w:rtl w:val="0"/>
          </w:rPr>
          <w:t xml:space="preserve">Hendon</w:t>
        </w:r>
      </w:hyperlink>
      <w:r w:rsidDel="00000000" w:rsidR="00000000" w:rsidRPr="00000000">
        <w:rPr>
          <w:sz w:val="24"/>
          <w:szCs w:val="24"/>
          <w:rtl w:val="0"/>
        </w:rPr>
        <w:t xml:space="preserve">, </w:t>
      </w:r>
      <w:hyperlink r:id="rId13">
        <w:r w:rsidDel="00000000" w:rsidR="00000000" w:rsidRPr="00000000">
          <w:rPr>
            <w:color w:val="0563c1"/>
            <w:sz w:val="24"/>
            <w:szCs w:val="24"/>
            <w:u w:val="single"/>
            <w:rtl w:val="0"/>
          </w:rPr>
          <w:t xml:space="preserve">Lavender Hill</w:t>
        </w:r>
      </w:hyperlink>
      <w:r w:rsidDel="00000000" w:rsidR="00000000" w:rsidRPr="00000000">
        <w:rPr>
          <w:sz w:val="24"/>
          <w:szCs w:val="24"/>
          <w:rtl w:val="0"/>
        </w:rPr>
        <w:t xml:space="preserve"> (this court deals with a lot of single justice procedure-related cases e.g. driving offences, TV licence non-payment), </w:t>
      </w:r>
      <w:hyperlink r:id="rId14">
        <w:r w:rsidDel="00000000" w:rsidR="00000000" w:rsidRPr="00000000">
          <w:rPr>
            <w:color w:val="0563c1"/>
            <w:sz w:val="24"/>
            <w:szCs w:val="24"/>
            <w:u w:val="single"/>
            <w:rtl w:val="0"/>
          </w:rPr>
          <w:t xml:space="preserve">Stratford</w:t>
        </w:r>
      </w:hyperlink>
      <w:r w:rsidDel="00000000" w:rsidR="00000000" w:rsidRPr="00000000">
        <w:rPr>
          <w:sz w:val="24"/>
          <w:szCs w:val="24"/>
          <w:rtl w:val="0"/>
        </w:rPr>
        <w:t xml:space="preserve"> (trials only), </w:t>
      </w:r>
      <w:hyperlink r:id="rId15">
        <w:r w:rsidDel="00000000" w:rsidR="00000000" w:rsidRPr="00000000">
          <w:rPr>
            <w:color w:val="0563c1"/>
            <w:sz w:val="24"/>
            <w:szCs w:val="24"/>
            <w:u w:val="single"/>
            <w:rtl w:val="0"/>
          </w:rPr>
          <w:t xml:space="preserve">Thames</w:t>
        </w:r>
      </w:hyperlink>
      <w:r w:rsidDel="00000000" w:rsidR="00000000" w:rsidRPr="00000000">
        <w:rPr>
          <w:sz w:val="24"/>
          <w:szCs w:val="24"/>
          <w:rtl w:val="0"/>
        </w:rPr>
        <w:t xml:space="preserve">, </w:t>
      </w:r>
      <w:hyperlink r:id="rId16">
        <w:r w:rsidDel="00000000" w:rsidR="00000000" w:rsidRPr="00000000">
          <w:rPr>
            <w:color w:val="0563c1"/>
            <w:sz w:val="24"/>
            <w:szCs w:val="24"/>
            <w:u w:val="single"/>
            <w:rtl w:val="0"/>
          </w:rPr>
          <w:t xml:space="preserve">Westminster</w:t>
        </w:r>
      </w:hyperlink>
      <w:r w:rsidDel="00000000" w:rsidR="00000000" w:rsidRPr="00000000">
        <w:rPr>
          <w:sz w:val="24"/>
          <w:szCs w:val="24"/>
          <w:rtl w:val="0"/>
        </w:rPr>
        <w:t xml:space="preserve"> (avoid extradition hearings), </w:t>
      </w:r>
      <w:hyperlink r:id="rId17">
        <w:r w:rsidDel="00000000" w:rsidR="00000000" w:rsidRPr="00000000">
          <w:rPr>
            <w:color w:val="0563c1"/>
            <w:sz w:val="24"/>
            <w:szCs w:val="24"/>
            <w:u w:val="single"/>
            <w:rtl w:val="0"/>
          </w:rPr>
          <w:t xml:space="preserve">Willesden</w:t>
        </w:r>
      </w:hyperlink>
      <w:r w:rsidDel="00000000" w:rsidR="00000000" w:rsidRPr="00000000">
        <w:rPr>
          <w:sz w:val="24"/>
          <w:szCs w:val="24"/>
          <w:rtl w:val="0"/>
        </w:rPr>
        <w:t xml:space="preserve">, </w:t>
      </w:r>
      <w:hyperlink r:id="rId18">
        <w:r w:rsidDel="00000000" w:rsidR="00000000" w:rsidRPr="00000000">
          <w:rPr>
            <w:color w:val="0563c1"/>
            <w:sz w:val="24"/>
            <w:szCs w:val="24"/>
            <w:u w:val="single"/>
            <w:rtl w:val="0"/>
          </w:rPr>
          <w:t xml:space="preserve">Wimbledon</w:t>
        </w:r>
      </w:hyperlink>
      <w:r w:rsidDel="00000000" w:rsidR="00000000" w:rsidRPr="00000000">
        <w:rPr>
          <w:sz w:val="24"/>
          <w:szCs w:val="24"/>
          <w:rtl w:val="0"/>
        </w:rPr>
        <w:t xml:space="preserve">. Check opening hours and </w:t>
      </w:r>
      <w:hyperlink r:id="rId19">
        <w:r w:rsidDel="00000000" w:rsidR="00000000" w:rsidRPr="00000000">
          <w:rPr>
            <w:color w:val="0563c1"/>
            <w:sz w:val="24"/>
            <w:szCs w:val="24"/>
            <w:u w:val="single"/>
            <w:rtl w:val="0"/>
          </w:rPr>
          <w:t xml:space="preserve">CourtServe</w:t>
        </w:r>
      </w:hyperlink>
      <w:r w:rsidDel="00000000" w:rsidR="00000000" w:rsidRPr="00000000">
        <w:rPr>
          <w:sz w:val="24"/>
          <w:szCs w:val="24"/>
          <w:rtl w:val="0"/>
        </w:rPr>
        <w:t xml:space="preserve"> online court lists (you will need to create a free CourtServe account) before attending to make sure cases are being held on the day you plan to attend. </w:t>
      </w:r>
    </w:p>
    <w:p w:rsidR="00000000" w:rsidDel="00000000" w:rsidP="00000000" w:rsidRDefault="00000000" w:rsidRPr="00000000" w14:paraId="00000014">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All the data you’ve submitted so far has been so useful. The guidance above just provides a few ways in which we can make the most of the time and energy you spend holding your courts accountable. </w:t>
      </w:r>
    </w:p>
    <w:p w:rsidR="00000000" w:rsidDel="00000000" w:rsidP="00000000" w:rsidRDefault="00000000" w:rsidRPr="00000000" w14:paraId="00000015">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If you have any feedback or questions about this guidance or courtwatching in general, get in touch at </w:t>
      </w:r>
      <w:hyperlink r:id="rId20">
        <w:r w:rsidDel="00000000" w:rsidR="00000000" w:rsidRPr="00000000">
          <w:rPr>
            <w:rFonts w:ascii="Calibri" w:cs="Calibri" w:eastAsia="Calibri" w:hAnsi="Calibri"/>
            <w:color w:val="0563c1"/>
            <w:sz w:val="24"/>
            <w:szCs w:val="24"/>
            <w:u w:val="single"/>
            <w:rtl w:val="0"/>
          </w:rPr>
          <w:t xml:space="preserve">courtwatch@transformjustice.org.uk</w:t>
        </w:r>
      </w:hyperlink>
      <w:r w:rsidDel="00000000" w:rsidR="00000000" w:rsidRPr="00000000">
        <w:rPr>
          <w:rFonts w:ascii="Calibri" w:cs="Calibri" w:eastAsia="Calibri" w:hAnsi="Calibri"/>
          <w:color w:val="000000"/>
          <w:sz w:val="24"/>
          <w:szCs w:val="24"/>
          <w:rtl w:val="0"/>
        </w:rPr>
        <w:t xml:space="preserve">.</w:t>
      </w:r>
    </w:p>
    <w:sectPr>
      <w:headerReference r:id="rId21" w:type="default"/>
      <w:footerReference r:id="rId2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jc w:val="right"/>
      <w:rPr/>
    </w:pPr>
    <w:r w:rsidDel="00000000" w:rsidR="00000000" w:rsidRPr="00000000">
      <w:rPr/>
      <w:drawing>
        <wp:inline distB="114300" distT="114300" distL="114300" distR="114300">
          <wp:extent cx="2002611" cy="530542"/>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02611" cy="53054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06374"/>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377BEB"/>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paragraph" w:styleId="ListParagraph">
    <w:name w:val="List Paragraph"/>
    <w:basedOn w:val="Normal"/>
    <w:uiPriority w:val="34"/>
    <w:qFormat w:val="1"/>
    <w:rsid w:val="00377BEB"/>
    <w:pPr>
      <w:ind w:left="720"/>
      <w:contextualSpacing w:val="1"/>
    </w:pPr>
  </w:style>
  <w:style w:type="character" w:styleId="Hyperlink">
    <w:name w:val="Hyperlink"/>
    <w:basedOn w:val="DefaultParagraphFont"/>
    <w:uiPriority w:val="99"/>
    <w:unhideWhenUsed w:val="1"/>
    <w:rsid w:val="007D5B34"/>
    <w:rPr>
      <w:color w:val="0563c1" w:themeColor="hyperlink"/>
      <w:u w:val="single"/>
    </w:rPr>
  </w:style>
  <w:style w:type="character" w:styleId="UnresolvedMention">
    <w:name w:val="Unresolved Mention"/>
    <w:basedOn w:val="DefaultParagraphFont"/>
    <w:uiPriority w:val="99"/>
    <w:semiHidden w:val="1"/>
    <w:unhideWhenUsed w:val="1"/>
    <w:rsid w:val="007D5B34"/>
    <w:rPr>
      <w:color w:val="605e5c"/>
      <w:shd w:color="auto" w:fill="e1dfdd" w:val="clear"/>
    </w:rPr>
  </w:style>
  <w:style w:type="table" w:styleId="TableGrid">
    <w:name w:val="Table Grid"/>
    <w:basedOn w:val="TableNormal"/>
    <w:uiPriority w:val="39"/>
    <w:rsid w:val="00833D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courtwatch@transformjustice.org.uk" TargetMode="External"/><Relationship Id="rId11" Type="http://schemas.openxmlformats.org/officeDocument/2006/relationships/hyperlink" Target="https://www.find-court-tribunal.service.gov.uk/courts/highbury-corner-magistrates-court" TargetMode="External"/><Relationship Id="rId22" Type="http://schemas.openxmlformats.org/officeDocument/2006/relationships/footer" Target="footer1.xml"/><Relationship Id="rId10" Type="http://schemas.openxmlformats.org/officeDocument/2006/relationships/hyperlink" Target="https://www.find-court-tribunal.service.gov.uk/courts/croydon-magistrates-court" TargetMode="External"/><Relationship Id="rId21" Type="http://schemas.openxmlformats.org/officeDocument/2006/relationships/header" Target="header1.xml"/><Relationship Id="rId13" Type="http://schemas.openxmlformats.org/officeDocument/2006/relationships/hyperlink" Target="https://www.find-court-tribunal.service.gov.uk/courts/lavender-hill-magistrates-court" TargetMode="External"/><Relationship Id="rId12" Type="http://schemas.openxmlformats.org/officeDocument/2006/relationships/hyperlink" Target="https://www.find-court-tribunal.service.gov.uk/courts/hendon-magistrates-cou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ind-court-tribunal.service.gov.uk/courts/bromley-magistrates-court" TargetMode="External"/><Relationship Id="rId15" Type="http://schemas.openxmlformats.org/officeDocument/2006/relationships/hyperlink" Target="https://www.find-court-tribunal.service.gov.uk/courts/thames-magistrates-court" TargetMode="External"/><Relationship Id="rId14" Type="http://schemas.openxmlformats.org/officeDocument/2006/relationships/hyperlink" Target="https://www.find-court-tribunal.service.gov.uk/courts/stratford-magistrates-court" TargetMode="External"/><Relationship Id="rId17" Type="http://schemas.openxmlformats.org/officeDocument/2006/relationships/hyperlink" Target="https://www.find-court-tribunal.service.gov.uk/courts/willesden-magistrates-court" TargetMode="External"/><Relationship Id="rId16" Type="http://schemas.openxmlformats.org/officeDocument/2006/relationships/hyperlink" Target="https://www.find-court-tribunal.service.gov.uk/courts/westminster-magistrates-court" TargetMode="External"/><Relationship Id="rId5" Type="http://schemas.openxmlformats.org/officeDocument/2006/relationships/styles" Target="styles.xml"/><Relationship Id="rId19" Type="http://schemas.openxmlformats.org/officeDocument/2006/relationships/hyperlink" Target="https://www.courtserve.net/" TargetMode="External"/><Relationship Id="rId6" Type="http://schemas.openxmlformats.org/officeDocument/2006/relationships/customXml" Target="../customXML/item1.xml"/><Relationship Id="rId18" Type="http://schemas.openxmlformats.org/officeDocument/2006/relationships/hyperlink" Target="https://www.find-court-tribunal.service.gov.uk/courts/wimbledon-magistrates-court" TargetMode="External"/><Relationship Id="rId7" Type="http://schemas.openxmlformats.org/officeDocument/2006/relationships/hyperlink" Target="https://www.find-court-tribunal.service.gov.uk/courts/barkingside--magistrates-court" TargetMode="External"/><Relationship Id="rId8" Type="http://schemas.openxmlformats.org/officeDocument/2006/relationships/hyperlink" Target="https://www.find-court-tribunal.service.gov.uk/courts/bexley-magistrates-cou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UusptauNAlAXkBkaqOkD7l9vzg==">CgMxLjA4AHIhMVlzUWlnY2hXQmw2UmhoN2s3cW9SR2FUOWhRZXg0TGJq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2023-10-09T08:33:00Z</dcterms:created>
  <dc:creator>Fionnuala Ratcliffe</dc:creator>
</cp:coreProperties>
</file>